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62" w:after="62" w:line="560" w:lineRule="exact"/>
        <w:outlineLvl w:val="0"/>
        <w:rPr>
          <w:rFonts w:hint="eastAsia" w:ascii="华文中宋" w:hAnsi="华文中宋" w:eastAsia="华文中宋" w:cs="华文中宋"/>
          <w:bCs/>
          <w:sz w:val="28"/>
          <w:szCs w:val="32"/>
          <w:lang w:val="zh-CN"/>
        </w:rPr>
      </w:pPr>
      <w:r>
        <w:rPr>
          <w:rFonts w:hint="eastAsia" w:ascii="华文中宋" w:hAnsi="华文中宋" w:eastAsia="华文中宋" w:cs="华文中宋"/>
          <w:bCs/>
          <w:sz w:val="28"/>
          <w:szCs w:val="32"/>
          <w:lang w:val="zh-CN"/>
        </w:rPr>
        <w:t>附件2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采购建议反馈表</w:t>
      </w:r>
    </w:p>
    <w:p>
      <w:pPr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提报单位：（加盖公章）                            提报日期：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654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细胞电融合仪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采购方式部分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建议内容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资格要求部分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建议内容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技术参数部分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建议内容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其他需要说明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24"/>
                <w:szCs w:val="24"/>
              </w:rPr>
              <w:t>的事项</w:t>
            </w:r>
          </w:p>
        </w:tc>
        <w:tc>
          <w:tcPr>
            <w:tcW w:w="7654" w:type="dxa"/>
          </w:tcPr>
          <w:p>
            <w:pPr>
              <w:rPr>
                <w:rFonts w:hint="eastAsia" w:ascii="华文中宋" w:hAnsi="华文中宋" w:eastAsia="华文中宋" w:cs="华文中宋"/>
                <w:szCs w:val="21"/>
              </w:rPr>
            </w:pPr>
          </w:p>
        </w:tc>
      </w:tr>
    </w:tbl>
    <w:p>
      <w:r>
        <w:rPr>
          <w:rFonts w:hint="eastAsia" w:ascii="华文中宋" w:hAnsi="华文中宋" w:eastAsia="华文中宋" w:cs="华文中宋"/>
          <w:color w:val="000000"/>
          <w:kern w:val="0"/>
          <w:sz w:val="24"/>
          <w:szCs w:val="24"/>
        </w:rPr>
        <w:t>联系人：                                     联系方式：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</w:docVars>
  <w:rsids>
    <w:rsidRoot w:val="07420565"/>
    <w:rsid w:val="07420565"/>
    <w:rsid w:val="0E5A314B"/>
    <w:rsid w:val="401B2838"/>
    <w:rsid w:val="69CB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